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1F2" w:rsidRPr="00C20A08" w:rsidRDefault="00C20A08" w:rsidP="00C20A08">
      <w:pPr>
        <w:jc w:val="left"/>
        <w:rPr>
          <w:rFonts w:ascii="黑体" w:eastAsia="黑体" w:hAnsi="黑体"/>
          <w:bCs/>
          <w:sz w:val="32"/>
          <w:szCs w:val="32"/>
        </w:rPr>
      </w:pPr>
      <w:r w:rsidRPr="00C20A08">
        <w:rPr>
          <w:rFonts w:ascii="黑体" w:eastAsia="黑体" w:hAnsi="黑体" w:hint="eastAsia"/>
          <w:bCs/>
          <w:sz w:val="32"/>
          <w:szCs w:val="32"/>
        </w:rPr>
        <w:t>附件1 实习作品分类及质量要求</w:t>
      </w:r>
    </w:p>
    <w:p w:rsidR="00A521F2" w:rsidRDefault="00A521F2">
      <w:pPr>
        <w:ind w:firstLineChars="202" w:firstLine="566"/>
        <w:rPr>
          <w:rFonts w:ascii="仿宋" w:eastAsia="仿宋" w:hAnsi="仿宋"/>
          <w:sz w:val="28"/>
          <w:szCs w:val="28"/>
        </w:rPr>
      </w:pPr>
    </w:p>
    <w:tbl>
      <w:tblPr>
        <w:tblStyle w:val="a7"/>
        <w:tblW w:w="8499" w:type="dxa"/>
        <w:tblInd w:w="540" w:type="dxa"/>
        <w:tblLayout w:type="fixed"/>
        <w:tblLook w:val="04A0" w:firstRow="1" w:lastRow="0" w:firstColumn="1" w:lastColumn="0" w:noHBand="0" w:noVBand="1"/>
      </w:tblPr>
      <w:tblGrid>
        <w:gridCol w:w="1128"/>
        <w:gridCol w:w="5244"/>
        <w:gridCol w:w="2127"/>
      </w:tblGrid>
      <w:tr w:rsidR="00A521F2" w:rsidTr="000B0A21">
        <w:trPr>
          <w:trHeight w:val="496"/>
        </w:trPr>
        <w:tc>
          <w:tcPr>
            <w:tcW w:w="1128" w:type="dxa"/>
            <w:shd w:val="clear" w:color="auto" w:fill="D9D9D9" w:themeFill="background1" w:themeFillShade="D9"/>
            <w:vAlign w:val="center"/>
          </w:tcPr>
          <w:p w:rsidR="00A521F2" w:rsidRDefault="002233F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作品</w:t>
            </w:r>
          </w:p>
          <w:p w:rsidR="00A521F2" w:rsidRDefault="002233F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类型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:rsidR="00A521F2" w:rsidRDefault="002233F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评价标准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A521F2" w:rsidRDefault="002233F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A521F2" w:rsidTr="000B0A21">
        <w:trPr>
          <w:trHeight w:val="416"/>
        </w:trPr>
        <w:tc>
          <w:tcPr>
            <w:tcW w:w="1128" w:type="dxa"/>
            <w:vAlign w:val="center"/>
          </w:tcPr>
          <w:p w:rsidR="00A521F2" w:rsidRDefault="002233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三维动画短片</w:t>
            </w:r>
          </w:p>
        </w:tc>
        <w:tc>
          <w:tcPr>
            <w:tcW w:w="5244" w:type="dxa"/>
            <w:vAlign w:val="center"/>
          </w:tcPr>
          <w:p w:rsidR="00A521F2" w:rsidRDefault="002233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1、正片长度不得低于</w:t>
            </w:r>
            <w:r w:rsidR="000B0A21">
              <w:rPr>
                <w:rFonts w:ascii="仿宋" w:eastAsia="仿宋" w:hAnsi="仿宋" w:hint="eastAsia"/>
                <w:sz w:val="24"/>
                <w:szCs w:val="24"/>
              </w:rPr>
              <w:t>30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秒；</w:t>
            </w:r>
          </w:p>
          <w:p w:rsidR="00A521F2" w:rsidRDefault="002233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2、题材新颖、积极向上、设定合理、具有原创性和传播价值；</w:t>
            </w:r>
          </w:p>
          <w:p w:rsidR="00A521F2" w:rsidRDefault="002233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、叙事性作品故事结构合理，节奏适当、情绪饱满；角色与故事匹配，性格鲜明、表演设计合理；角色动态连贯自然、体现出较好的原画设计（或角色动画）水平；镜头构成、剪辑关系结构严谨、节奏鲜明、不影响观众理解。</w:t>
            </w:r>
          </w:p>
          <w:p w:rsidR="00A521F2" w:rsidRDefault="002233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4、非叙事性作品应以作品风格与形式的创新性作为主要评价指标。作品应风格独到、形式新颖；在作品的结构与节奏、视觉风格、声音设计的处理上有创新之处。</w:t>
            </w:r>
          </w:p>
        </w:tc>
        <w:tc>
          <w:tcPr>
            <w:tcW w:w="2127" w:type="dxa"/>
            <w:vAlign w:val="center"/>
          </w:tcPr>
          <w:p w:rsidR="00A521F2" w:rsidRDefault="00A521F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21F2" w:rsidTr="000B0A21">
        <w:trPr>
          <w:trHeight w:val="1973"/>
        </w:trPr>
        <w:tc>
          <w:tcPr>
            <w:tcW w:w="1128" w:type="dxa"/>
            <w:vAlign w:val="center"/>
          </w:tcPr>
          <w:p w:rsidR="00A521F2" w:rsidRDefault="002233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漫画</w:t>
            </w:r>
          </w:p>
          <w:p w:rsidR="00A521F2" w:rsidRDefault="002233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插画</w:t>
            </w:r>
          </w:p>
        </w:tc>
        <w:tc>
          <w:tcPr>
            <w:tcW w:w="5244" w:type="dxa"/>
            <w:vAlign w:val="center"/>
          </w:tcPr>
          <w:p w:rsidR="00A521F2" w:rsidRDefault="002233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1、不少于</w:t>
            </w:r>
            <w:r w:rsidR="000B0A21"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页满幅画面的连续性完整作品（依难度可适度放宽页数要求），或者满足相应的类似工作量。</w:t>
            </w:r>
          </w:p>
          <w:p w:rsidR="00A521F2" w:rsidRDefault="002233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2、题材新颖、积极向上、设定合理、具有原创性和传播价值；</w:t>
            </w:r>
          </w:p>
          <w:p w:rsidR="00A521F2" w:rsidRDefault="002233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3、叙事性作品故事完整、结构合理，节奏适当、情绪丰富；故事情景设定合理新颖；角色与故事匹配且性格鲜明；分镜应符合故事需要，画面构成方式得当。</w:t>
            </w:r>
          </w:p>
          <w:p w:rsidR="00A521F2" w:rsidRDefault="002233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4、非叙事性作品应以作品风格与形式的创新性作为主要评价指标。作品的画面与文字的关系处理得当、整体感强；风格鲜明，情感或气氛表达充分。</w:t>
            </w:r>
          </w:p>
          <w:p w:rsidR="00A521F2" w:rsidRDefault="002233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5、表现手法完整、技巧成熟；视觉风格独特、整体氛围突出；色彩搭配协调，层次控制得当，细节表现良好。</w:t>
            </w:r>
          </w:p>
        </w:tc>
        <w:tc>
          <w:tcPr>
            <w:tcW w:w="2127" w:type="dxa"/>
            <w:vAlign w:val="center"/>
          </w:tcPr>
          <w:p w:rsidR="00A521F2" w:rsidRDefault="00A521F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21F2" w:rsidTr="000B0A21">
        <w:trPr>
          <w:trHeight w:val="699"/>
        </w:trPr>
        <w:tc>
          <w:tcPr>
            <w:tcW w:w="1128" w:type="dxa"/>
            <w:vAlign w:val="center"/>
          </w:tcPr>
          <w:p w:rsidR="00A521F2" w:rsidRDefault="002233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二维动画短片</w:t>
            </w:r>
          </w:p>
        </w:tc>
        <w:tc>
          <w:tcPr>
            <w:tcW w:w="5244" w:type="dxa"/>
            <w:vAlign w:val="center"/>
          </w:tcPr>
          <w:p w:rsidR="00A521F2" w:rsidRDefault="002233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1、正片长度不得低于30秒。</w:t>
            </w:r>
          </w:p>
          <w:p w:rsidR="00A521F2" w:rsidRDefault="002233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2、题材新颖、积极向上、设定合理、具有原创性和传播价值。</w:t>
            </w:r>
          </w:p>
          <w:p w:rsidR="00A521F2" w:rsidRDefault="002233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、叙事性作品故事结构合理，节奏适当、情绪饱满；角色与故事匹配，性格鲜明、表演设计合理；角色动态连贯自然、体现出较好的原画设计（或角色动画）水平；镜头构成、剪辑关系结构严谨、节奏鲜明、不影响观众理解。</w:t>
            </w:r>
          </w:p>
          <w:p w:rsidR="00A521F2" w:rsidRDefault="002233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4、非叙事性作品应以作品风格与形式的创新性作为主要评价指标。作品应风格独到、形式新颖；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在作品的结构与节奏、视觉风格、声音设计的处理上有创新之处。</w:t>
            </w:r>
          </w:p>
        </w:tc>
        <w:tc>
          <w:tcPr>
            <w:tcW w:w="2127" w:type="dxa"/>
            <w:vAlign w:val="center"/>
          </w:tcPr>
          <w:p w:rsidR="00A521F2" w:rsidRDefault="00A521F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21F2" w:rsidTr="000B0A21">
        <w:trPr>
          <w:trHeight w:val="856"/>
        </w:trPr>
        <w:tc>
          <w:tcPr>
            <w:tcW w:w="1128" w:type="dxa"/>
            <w:vAlign w:val="center"/>
          </w:tcPr>
          <w:p w:rsidR="00A521F2" w:rsidRDefault="002233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交互类</w:t>
            </w:r>
          </w:p>
        </w:tc>
        <w:tc>
          <w:tcPr>
            <w:tcW w:w="5244" w:type="dxa"/>
            <w:vAlign w:val="center"/>
          </w:tcPr>
          <w:p w:rsidR="00A521F2" w:rsidRDefault="000B0A2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1、</w:t>
            </w:r>
            <w:r w:rsidR="002233F2">
              <w:rPr>
                <w:rFonts w:ascii="仿宋" w:eastAsia="仿宋" w:hAnsi="仿宋" w:hint="eastAsia"/>
                <w:sz w:val="24"/>
                <w:szCs w:val="24"/>
              </w:rPr>
              <w:t>题材新颖、形式独特，具有一定的实用价值，实现特定的功能。</w:t>
            </w:r>
          </w:p>
          <w:p w:rsidR="00A521F2" w:rsidRDefault="000B0A2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2233F2">
              <w:rPr>
                <w:rFonts w:ascii="仿宋" w:eastAsia="仿宋" w:hAnsi="仿宋" w:hint="eastAsia"/>
                <w:sz w:val="24"/>
                <w:szCs w:val="24"/>
              </w:rPr>
              <w:t>、交互设计思路清晰、用户体验良好；交互反馈迅速，互动方式与作品题材及内容贴切。</w:t>
            </w:r>
          </w:p>
          <w:p w:rsidR="00A521F2" w:rsidRDefault="000B0A21" w:rsidP="000B0A2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2233F2">
              <w:rPr>
                <w:rFonts w:ascii="仿宋" w:eastAsia="仿宋" w:hAnsi="仿宋" w:hint="eastAsia"/>
                <w:sz w:val="24"/>
                <w:szCs w:val="24"/>
              </w:rPr>
              <w:t>、图形界面设计合理，视觉风格独特并与作品主题贴切。</w:t>
            </w:r>
          </w:p>
        </w:tc>
        <w:tc>
          <w:tcPr>
            <w:tcW w:w="2127" w:type="dxa"/>
            <w:vAlign w:val="center"/>
          </w:tcPr>
          <w:p w:rsidR="00A521F2" w:rsidRDefault="00A521F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21F2" w:rsidTr="000B0A21">
        <w:trPr>
          <w:trHeight w:val="698"/>
        </w:trPr>
        <w:tc>
          <w:tcPr>
            <w:tcW w:w="1128" w:type="dxa"/>
            <w:vAlign w:val="center"/>
          </w:tcPr>
          <w:p w:rsidR="00A521F2" w:rsidRDefault="002233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建模类</w:t>
            </w:r>
          </w:p>
        </w:tc>
        <w:tc>
          <w:tcPr>
            <w:tcW w:w="5244" w:type="dxa"/>
            <w:vAlign w:val="center"/>
          </w:tcPr>
          <w:p w:rsidR="00A521F2" w:rsidRDefault="002233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1、游戏方面的角色建模：角色数量</w:t>
            </w:r>
            <w:r w:rsidR="000B0A21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个以上。</w:t>
            </w:r>
          </w:p>
          <w:p w:rsidR="00A521F2" w:rsidRDefault="002233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2、动画角色建模：1个以上角色高模。</w:t>
            </w:r>
          </w:p>
          <w:p w:rsidR="00A521F2" w:rsidRDefault="002233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3、游戏场景建模：至少须完成1个</w:t>
            </w:r>
            <w:r w:rsidR="000B0A21">
              <w:rPr>
                <w:rFonts w:ascii="仿宋" w:eastAsia="仿宋" w:hAnsi="仿宋" w:hint="eastAsia"/>
                <w:sz w:val="24"/>
                <w:szCs w:val="24"/>
              </w:rPr>
              <w:t>较复杂的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建筑</w:t>
            </w:r>
          </w:p>
        </w:tc>
        <w:tc>
          <w:tcPr>
            <w:tcW w:w="2127" w:type="dxa"/>
            <w:vAlign w:val="center"/>
          </w:tcPr>
          <w:p w:rsidR="00A521F2" w:rsidRDefault="00A521F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21F2" w:rsidTr="000B0A21">
        <w:trPr>
          <w:trHeight w:val="1133"/>
        </w:trPr>
        <w:tc>
          <w:tcPr>
            <w:tcW w:w="1128" w:type="dxa"/>
            <w:vAlign w:val="center"/>
          </w:tcPr>
          <w:p w:rsidR="00A521F2" w:rsidRDefault="002233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游戏角色动画</w:t>
            </w:r>
          </w:p>
        </w:tc>
        <w:tc>
          <w:tcPr>
            <w:tcW w:w="5244" w:type="dxa"/>
            <w:vAlign w:val="center"/>
          </w:tcPr>
          <w:p w:rsidR="00A521F2" w:rsidRDefault="002233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1、结合action clip animation完成至少</w:t>
            </w:r>
            <w:r w:rsidR="000B0A21">
              <w:rPr>
                <w:rFonts w:ascii="仿宋" w:eastAsia="仿宋" w:hAnsi="仿宋"/>
                <w:sz w:val="24"/>
                <w:szCs w:val="24"/>
              </w:rPr>
              <w:t>15</w:t>
            </w:r>
            <w:r w:rsidR="000B0A21">
              <w:rPr>
                <w:rFonts w:ascii="仿宋" w:eastAsia="仿宋" w:hAnsi="仿宋" w:hint="eastAsia"/>
                <w:sz w:val="24"/>
                <w:szCs w:val="24"/>
              </w:rPr>
              <w:t>秒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以上的动画合集。</w:t>
            </w:r>
          </w:p>
          <w:p w:rsidR="00A521F2" w:rsidRDefault="002233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2、动作流畅。</w:t>
            </w:r>
          </w:p>
        </w:tc>
        <w:tc>
          <w:tcPr>
            <w:tcW w:w="2127" w:type="dxa"/>
            <w:vAlign w:val="center"/>
          </w:tcPr>
          <w:p w:rsidR="00A521F2" w:rsidRDefault="00A521F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21F2" w:rsidTr="000B0A21">
        <w:trPr>
          <w:trHeight w:val="592"/>
        </w:trPr>
        <w:tc>
          <w:tcPr>
            <w:tcW w:w="1128" w:type="dxa"/>
            <w:vAlign w:val="center"/>
          </w:tcPr>
          <w:p w:rsidR="00A521F2" w:rsidRDefault="002233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概念设定类</w:t>
            </w:r>
          </w:p>
        </w:tc>
        <w:tc>
          <w:tcPr>
            <w:tcW w:w="5244" w:type="dxa"/>
            <w:vAlign w:val="center"/>
          </w:tcPr>
          <w:p w:rsidR="00A521F2" w:rsidRDefault="002233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1、动画类概念设定应包含动画片名及故事大纲等；游戏类概念设定应包含游戏名称、游戏策划案等。</w:t>
            </w:r>
          </w:p>
          <w:p w:rsidR="00A521F2" w:rsidRDefault="002233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2、人物设定作品：角色数量不少于</w:t>
            </w:r>
            <w:r w:rsidR="000B0A21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个，须绘制转面图、表情设定、动作设定、服装及道具设定、色彩设定等。</w:t>
            </w:r>
          </w:p>
          <w:p w:rsidR="00A521F2" w:rsidRDefault="002233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3、场景设定作品：场景数量不少于</w:t>
            </w:r>
            <w:r w:rsidR="000B0A21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处（可根据场景复杂程度适当减少数量），须绘制平面图、概念效果图、局部效果图等。</w:t>
            </w:r>
          </w:p>
        </w:tc>
        <w:tc>
          <w:tcPr>
            <w:tcW w:w="2127" w:type="dxa"/>
            <w:vAlign w:val="center"/>
          </w:tcPr>
          <w:p w:rsidR="00A521F2" w:rsidRDefault="00A521F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21F2" w:rsidTr="000B0A21">
        <w:trPr>
          <w:trHeight w:val="592"/>
        </w:trPr>
        <w:tc>
          <w:tcPr>
            <w:tcW w:w="1128" w:type="dxa"/>
            <w:vAlign w:val="center"/>
          </w:tcPr>
          <w:p w:rsidR="00A521F2" w:rsidRDefault="002233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动漫衍生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品类</w:t>
            </w:r>
          </w:p>
        </w:tc>
        <w:tc>
          <w:tcPr>
            <w:tcW w:w="5244" w:type="dxa"/>
            <w:vAlign w:val="center"/>
          </w:tcPr>
          <w:p w:rsidR="00A521F2" w:rsidRDefault="002233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1、主题新颖，并具有一定的实用价值。</w:t>
            </w:r>
          </w:p>
          <w:p w:rsidR="00A521F2" w:rsidRDefault="002233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2、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以动漫角色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为主题的衍生产品设计，需具有原创性和创新性。</w:t>
            </w:r>
          </w:p>
          <w:p w:rsidR="00A521F2" w:rsidRDefault="002233F2" w:rsidP="000B0A2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3、产品数量在</w:t>
            </w:r>
            <w:r w:rsidR="000B0A21"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个以上。</w:t>
            </w:r>
          </w:p>
        </w:tc>
        <w:tc>
          <w:tcPr>
            <w:tcW w:w="2127" w:type="dxa"/>
            <w:vAlign w:val="center"/>
          </w:tcPr>
          <w:p w:rsidR="00A521F2" w:rsidRDefault="00A521F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21F2" w:rsidTr="000B0A21">
        <w:trPr>
          <w:trHeight w:val="592"/>
        </w:trPr>
        <w:tc>
          <w:tcPr>
            <w:tcW w:w="1128" w:type="dxa"/>
            <w:vAlign w:val="center"/>
          </w:tcPr>
          <w:p w:rsidR="00A521F2" w:rsidRDefault="000B0A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新媒体</w:t>
            </w:r>
          </w:p>
          <w:p w:rsidR="000B0A21" w:rsidRDefault="000B0A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设计类</w:t>
            </w:r>
          </w:p>
        </w:tc>
        <w:tc>
          <w:tcPr>
            <w:tcW w:w="5244" w:type="dxa"/>
            <w:vAlign w:val="center"/>
          </w:tcPr>
          <w:p w:rsidR="00A521F2" w:rsidRDefault="002233F2">
            <w:pPr>
              <w:numPr>
                <w:ilvl w:val="0"/>
                <w:numId w:val="3"/>
              </w:num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策划案类作品数量不低于1篇，需要有实习单位业务紧密关联，主题明确，有完整的策划框架，并具有一定的实用价值。</w:t>
            </w:r>
          </w:p>
          <w:p w:rsidR="00A521F2" w:rsidRDefault="002233F2">
            <w:pPr>
              <w:numPr>
                <w:ilvl w:val="0"/>
                <w:numId w:val="3"/>
              </w:num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新媒体推文类作品数量不低于4篇，需要与实习单位业务紧密关联，每篇阅读量不低于100。</w:t>
            </w:r>
          </w:p>
          <w:p w:rsidR="00A521F2" w:rsidRDefault="002233F2" w:rsidP="000B0A21">
            <w:pPr>
              <w:numPr>
                <w:ilvl w:val="0"/>
                <w:numId w:val="3"/>
              </w:num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平面广告类作品数量不低于4张，主题明确，视觉风格独特、色彩搭配协调，细节表现良好，并具有一定的实用价值。</w:t>
            </w:r>
          </w:p>
        </w:tc>
        <w:tc>
          <w:tcPr>
            <w:tcW w:w="2127" w:type="dxa"/>
            <w:vAlign w:val="center"/>
          </w:tcPr>
          <w:p w:rsidR="00A521F2" w:rsidRDefault="00A521F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B0A21" w:rsidTr="000B0A21">
        <w:trPr>
          <w:trHeight w:val="592"/>
        </w:trPr>
        <w:tc>
          <w:tcPr>
            <w:tcW w:w="1128" w:type="dxa"/>
            <w:vAlign w:val="center"/>
          </w:tcPr>
          <w:p w:rsidR="000B0A21" w:rsidRDefault="000B0A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其它</w:t>
            </w:r>
          </w:p>
        </w:tc>
        <w:tc>
          <w:tcPr>
            <w:tcW w:w="5244" w:type="dxa"/>
            <w:vAlign w:val="center"/>
          </w:tcPr>
          <w:p w:rsidR="000B0A21" w:rsidRDefault="000B0A21" w:rsidP="000B0A2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1、</w:t>
            </w:r>
            <w:r w:rsidR="002233F2">
              <w:rPr>
                <w:rFonts w:ascii="仿宋" w:eastAsia="仿宋" w:hAnsi="仿宋" w:hint="eastAsia"/>
                <w:sz w:val="24"/>
                <w:szCs w:val="24"/>
              </w:rPr>
              <w:t>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完成与上述作品工作量相当的实际工作，并提供佐证材料；</w:t>
            </w:r>
          </w:p>
          <w:p w:rsidR="000B0A21" w:rsidRDefault="000B0A21" w:rsidP="000B0A2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DC133D">
              <w:rPr>
                <w:rFonts w:ascii="仿宋" w:eastAsia="仿宋" w:hAnsi="仿宋" w:hint="eastAsia"/>
                <w:sz w:val="24"/>
                <w:szCs w:val="24"/>
              </w:rPr>
              <w:t>作品形式</w:t>
            </w:r>
            <w:r w:rsidR="002233F2">
              <w:rPr>
                <w:rFonts w:ascii="仿宋" w:eastAsia="仿宋" w:hAnsi="仿宋" w:hint="eastAsia"/>
                <w:sz w:val="24"/>
                <w:szCs w:val="24"/>
              </w:rPr>
              <w:t>须</w:t>
            </w:r>
            <w:r w:rsidR="00DC133D">
              <w:rPr>
                <w:rFonts w:ascii="仿宋" w:eastAsia="仿宋" w:hAnsi="仿宋" w:hint="eastAsia"/>
                <w:sz w:val="24"/>
                <w:szCs w:val="24"/>
              </w:rPr>
              <w:t>与指导教师商定；</w:t>
            </w:r>
          </w:p>
          <w:p w:rsidR="00DC133D" w:rsidRPr="000B0A21" w:rsidRDefault="00DC133D" w:rsidP="000B0A2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3、作品评分由教研室会议审定。</w:t>
            </w:r>
          </w:p>
        </w:tc>
        <w:tc>
          <w:tcPr>
            <w:tcW w:w="2127" w:type="dxa"/>
            <w:vAlign w:val="center"/>
          </w:tcPr>
          <w:p w:rsidR="000B0A21" w:rsidRDefault="000B0A2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521F2" w:rsidRPr="00C528A9" w:rsidRDefault="00A521F2" w:rsidP="00C528A9">
      <w:pPr>
        <w:rPr>
          <w:rFonts w:ascii="仿宋" w:eastAsia="仿宋" w:hAnsi="仿宋" w:hint="eastAsia"/>
          <w:sz w:val="28"/>
          <w:szCs w:val="28"/>
        </w:rPr>
      </w:pPr>
      <w:bookmarkStart w:id="0" w:name="_GoBack"/>
      <w:bookmarkEnd w:id="0"/>
    </w:p>
    <w:sectPr w:rsidR="00A521F2" w:rsidRPr="00C52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DB50179"/>
    <w:multiLevelType w:val="singleLevel"/>
    <w:tmpl w:val="BDB50179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114E0035"/>
    <w:multiLevelType w:val="multilevel"/>
    <w:tmpl w:val="114E003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3E017F"/>
    <w:multiLevelType w:val="multilevel"/>
    <w:tmpl w:val="463E017F"/>
    <w:lvl w:ilvl="0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4BA"/>
    <w:rsid w:val="00012360"/>
    <w:rsid w:val="00017956"/>
    <w:rsid w:val="000B0A21"/>
    <w:rsid w:val="00105207"/>
    <w:rsid w:val="00110A22"/>
    <w:rsid w:val="00124AA4"/>
    <w:rsid w:val="00146FFD"/>
    <w:rsid w:val="0017452C"/>
    <w:rsid w:val="00181CD8"/>
    <w:rsid w:val="001A3F35"/>
    <w:rsid w:val="001F6725"/>
    <w:rsid w:val="002233F2"/>
    <w:rsid w:val="00235850"/>
    <w:rsid w:val="00252E4D"/>
    <w:rsid w:val="00292538"/>
    <w:rsid w:val="0029323F"/>
    <w:rsid w:val="0037536D"/>
    <w:rsid w:val="003A1237"/>
    <w:rsid w:val="003E2AFB"/>
    <w:rsid w:val="00450DD2"/>
    <w:rsid w:val="0047684E"/>
    <w:rsid w:val="004D04E0"/>
    <w:rsid w:val="004D6178"/>
    <w:rsid w:val="00525C62"/>
    <w:rsid w:val="00530BCF"/>
    <w:rsid w:val="00567819"/>
    <w:rsid w:val="00584DA1"/>
    <w:rsid w:val="00586F63"/>
    <w:rsid w:val="00671F1B"/>
    <w:rsid w:val="006F37DC"/>
    <w:rsid w:val="006F4E0B"/>
    <w:rsid w:val="00747676"/>
    <w:rsid w:val="00760B81"/>
    <w:rsid w:val="00793E91"/>
    <w:rsid w:val="007A3430"/>
    <w:rsid w:val="00830B7A"/>
    <w:rsid w:val="00836662"/>
    <w:rsid w:val="008704A3"/>
    <w:rsid w:val="00893801"/>
    <w:rsid w:val="008D34D2"/>
    <w:rsid w:val="00916DB5"/>
    <w:rsid w:val="009A41C2"/>
    <w:rsid w:val="009C28E3"/>
    <w:rsid w:val="009C3D14"/>
    <w:rsid w:val="009D3587"/>
    <w:rsid w:val="00A5124C"/>
    <w:rsid w:val="00A521F2"/>
    <w:rsid w:val="00A65660"/>
    <w:rsid w:val="00A8613B"/>
    <w:rsid w:val="00AD5C5C"/>
    <w:rsid w:val="00B05106"/>
    <w:rsid w:val="00B16A22"/>
    <w:rsid w:val="00B41515"/>
    <w:rsid w:val="00B47DEF"/>
    <w:rsid w:val="00BA7187"/>
    <w:rsid w:val="00BE7A43"/>
    <w:rsid w:val="00BF31C7"/>
    <w:rsid w:val="00C20A08"/>
    <w:rsid w:val="00C528A9"/>
    <w:rsid w:val="00CC353D"/>
    <w:rsid w:val="00CE63BD"/>
    <w:rsid w:val="00D3128B"/>
    <w:rsid w:val="00D328E7"/>
    <w:rsid w:val="00D66849"/>
    <w:rsid w:val="00D84E1B"/>
    <w:rsid w:val="00DA61F7"/>
    <w:rsid w:val="00DB7A78"/>
    <w:rsid w:val="00DC133D"/>
    <w:rsid w:val="00DD5092"/>
    <w:rsid w:val="00DF3AA9"/>
    <w:rsid w:val="00E060CD"/>
    <w:rsid w:val="00E120ED"/>
    <w:rsid w:val="00E66A44"/>
    <w:rsid w:val="00EB44BA"/>
    <w:rsid w:val="00EC08D1"/>
    <w:rsid w:val="00EC72F2"/>
    <w:rsid w:val="00EF125A"/>
    <w:rsid w:val="00F143F7"/>
    <w:rsid w:val="00F675F5"/>
    <w:rsid w:val="00F74933"/>
    <w:rsid w:val="00F77B1B"/>
    <w:rsid w:val="00F93402"/>
    <w:rsid w:val="00FA0606"/>
    <w:rsid w:val="00FB6633"/>
    <w:rsid w:val="00FD74EF"/>
    <w:rsid w:val="012E54F7"/>
    <w:rsid w:val="20F1313B"/>
    <w:rsid w:val="3A1379AF"/>
    <w:rsid w:val="3AE83532"/>
    <w:rsid w:val="4DE7633D"/>
    <w:rsid w:val="654F50AB"/>
    <w:rsid w:val="7E7C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D46D"/>
  <w15:docId w15:val="{6A46BAD6-9C6F-4D30-9D94-BB9DD81E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QiXuan</dc:creator>
  <cp:lastModifiedBy>tz</cp:lastModifiedBy>
  <cp:revision>74</cp:revision>
  <dcterms:created xsi:type="dcterms:W3CDTF">2016-12-26T03:56:00Z</dcterms:created>
  <dcterms:modified xsi:type="dcterms:W3CDTF">2021-06-11T10:57:00Z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